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728B0" w14:textId="27970743" w:rsidR="004570D2" w:rsidRPr="00543FC6" w:rsidRDefault="004570D2" w:rsidP="00543FC6">
      <w:pPr>
        <w:widowControl w:val="0"/>
        <w:autoSpaceDE w:val="0"/>
        <w:autoSpaceDN w:val="0"/>
        <w:adjustRightInd w:val="0"/>
        <w:spacing w:line="613" w:lineRule="atLeast"/>
        <w:ind w:right="48"/>
        <w:jc w:val="center"/>
        <w:rPr>
          <w:rFonts w:ascii="Helvetica" w:hAnsi="Helvetica" w:cs="Helvetica"/>
          <w:b/>
          <w:bCs/>
          <w:color w:val="00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70D2">
        <w:rPr>
          <w:rFonts w:ascii="Helvetica" w:hAnsi="Helvetica" w:cs="Helvetica"/>
          <w:b/>
          <w:bCs/>
          <w:color w:val="003399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Société de Neuropsychologie de Langue Française </w:t>
      </w:r>
    </w:p>
    <w:p w14:paraId="20A0AD40" w14:textId="77777777" w:rsidR="004570D2" w:rsidRDefault="004570D2" w:rsidP="00543FC6">
      <w:pPr>
        <w:widowControl w:val="0"/>
        <w:autoSpaceDE w:val="0"/>
        <w:autoSpaceDN w:val="0"/>
        <w:adjustRightInd w:val="0"/>
        <w:ind w:right="48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 Société de Neuropsychologie Française (SNLF) et le Laboratoire de Psychologie et </w:t>
      </w:r>
      <w:proofErr w:type="spellStart"/>
      <w:r>
        <w:rPr>
          <w:rFonts w:ascii="Helvetica" w:hAnsi="Helvetica" w:cs="Helvetica"/>
        </w:rPr>
        <w:t>Neurocognition</w:t>
      </w:r>
      <w:proofErr w:type="spellEnd"/>
      <w:r>
        <w:rPr>
          <w:rFonts w:ascii="Helvetica" w:hAnsi="Helvetica" w:cs="Helvetica"/>
        </w:rPr>
        <w:t xml:space="preserve"> (LPNC) de l’université Grenoble-Alpes ont le plaisir d’ouvrir l’appel à communication pour les 41èmes journées de Printemps qui se tiendront à Grenoble les 1</w:t>
      </w:r>
      <w:r>
        <w:rPr>
          <w:rFonts w:ascii="Helvetica" w:hAnsi="Helvetica" w:cs="Helvetica"/>
          <w:sz w:val="20"/>
          <w:szCs w:val="20"/>
          <w:vertAlign w:val="superscript"/>
        </w:rPr>
        <w:t>er</w:t>
      </w:r>
      <w:r>
        <w:rPr>
          <w:rFonts w:ascii="Helvetica" w:hAnsi="Helvetica" w:cs="Helvetica"/>
        </w:rPr>
        <w:t xml:space="preserve"> et 2 Juin.</w:t>
      </w:r>
    </w:p>
    <w:p w14:paraId="4F232466" w14:textId="77777777" w:rsidR="004570D2" w:rsidRDefault="004570D2" w:rsidP="00543FC6">
      <w:pPr>
        <w:widowControl w:val="0"/>
        <w:autoSpaceDE w:val="0"/>
        <w:autoSpaceDN w:val="0"/>
        <w:adjustRightInd w:val="0"/>
        <w:ind w:right="48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 thématique choisie cette année est celle de l’Anosognosie et des États de conscience. Les chercheurs invités (Lionel </w:t>
      </w:r>
      <w:proofErr w:type="spellStart"/>
      <w:r>
        <w:rPr>
          <w:rFonts w:ascii="Helvetica" w:hAnsi="Helvetica" w:cs="Helvetica"/>
        </w:rPr>
        <w:t>Naccache</w:t>
      </w:r>
      <w:proofErr w:type="spellEnd"/>
      <w:r>
        <w:rPr>
          <w:rFonts w:ascii="Helvetica" w:hAnsi="Helvetica" w:cs="Helvetica"/>
        </w:rPr>
        <w:t xml:space="preserve">, Alan </w:t>
      </w:r>
      <w:proofErr w:type="spellStart"/>
      <w:r>
        <w:rPr>
          <w:rFonts w:ascii="Helvetica" w:hAnsi="Helvetica" w:cs="Helvetica"/>
        </w:rPr>
        <w:t>Baddeley</w:t>
      </w:r>
      <w:proofErr w:type="spellEnd"/>
      <w:r>
        <w:rPr>
          <w:rFonts w:ascii="Helvetica" w:hAnsi="Helvetica" w:cs="Helvetica"/>
        </w:rPr>
        <w:t xml:space="preserve">, Pierre Maquet et Chris Moulin) présenteront leurs travaux autour de cette thématique. L’objectif est de présenter la diversité des approches méthodologiques (coma, sommeil, études neuropsychologiques et de </w:t>
      </w:r>
      <w:proofErr w:type="spellStart"/>
      <w:r>
        <w:rPr>
          <w:rFonts w:ascii="Helvetica" w:hAnsi="Helvetica" w:cs="Helvetica"/>
        </w:rPr>
        <w:t>neuroimagerie</w:t>
      </w:r>
      <w:proofErr w:type="spellEnd"/>
      <w:r>
        <w:rPr>
          <w:rFonts w:ascii="Helvetica" w:hAnsi="Helvetica" w:cs="Helvetica"/>
        </w:rPr>
        <w:t xml:space="preserve">) pour appréhender cette question et la diversité des troubles observés portant sur différentes fonctions cognitives (mémoire, perception, attention). </w:t>
      </w:r>
    </w:p>
    <w:p w14:paraId="12384715" w14:textId="05ABB6F8" w:rsidR="004570D2" w:rsidRDefault="004570D2" w:rsidP="00543FC6">
      <w:pPr>
        <w:widowControl w:val="0"/>
        <w:autoSpaceDE w:val="0"/>
        <w:autoSpaceDN w:val="0"/>
        <w:adjustRightInd w:val="0"/>
        <w:ind w:right="48"/>
        <w:jc w:val="both"/>
        <w:rPr>
          <w:rFonts w:ascii="Tahoma" w:hAnsi="Tahoma" w:cs="Tahoma"/>
          <w:b/>
          <w:bCs/>
        </w:rPr>
      </w:pPr>
      <w:r>
        <w:rPr>
          <w:rFonts w:ascii="Helvetica" w:hAnsi="Helvetica" w:cs="Helvetica"/>
        </w:rPr>
        <w:t>Dans la tradition de La SNLF, un appe</w:t>
      </w:r>
      <w:r w:rsidR="00543FC6">
        <w:rPr>
          <w:rFonts w:ascii="Helvetica" w:hAnsi="Helvetica" w:cs="Helvetica"/>
        </w:rPr>
        <w:t>l à communication complète ces </w:t>
      </w:r>
      <w:r>
        <w:rPr>
          <w:rFonts w:ascii="Helvetica" w:hAnsi="Helvetica" w:cs="Helvetica"/>
        </w:rPr>
        <w:t>conférences plénières, sous forme de présentations orales et affichées portant sur cette thématique ou s'inscrivant plus généralement dans le domaine de la neuropsychologie.</w:t>
      </w:r>
    </w:p>
    <w:p w14:paraId="140BA4EF" w14:textId="77777777" w:rsidR="004570D2" w:rsidRDefault="004570D2" w:rsidP="004570D2">
      <w:pPr>
        <w:widowControl w:val="0"/>
        <w:autoSpaceDE w:val="0"/>
        <w:autoSpaceDN w:val="0"/>
        <w:adjustRightInd w:val="0"/>
        <w:spacing w:after="240"/>
        <w:ind w:right="-1122"/>
        <w:jc w:val="center"/>
        <w:rPr>
          <w:rFonts w:ascii="Tahoma" w:hAnsi="Tahoma" w:cs="Tahoma"/>
          <w:b/>
          <w:bCs/>
        </w:rPr>
      </w:pPr>
    </w:p>
    <w:p w14:paraId="1DC3100F" w14:textId="77777777" w:rsidR="004570D2" w:rsidRDefault="004570D2" w:rsidP="00543FC6">
      <w:pPr>
        <w:widowControl w:val="0"/>
        <w:autoSpaceDE w:val="0"/>
        <w:autoSpaceDN w:val="0"/>
        <w:adjustRightInd w:val="0"/>
        <w:spacing w:after="240"/>
        <w:ind w:right="-94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APPEL A COMMUNICATIONS </w:t>
      </w:r>
    </w:p>
    <w:p w14:paraId="5F4BE1DE" w14:textId="77777777" w:rsidR="004570D2" w:rsidRDefault="004570D2" w:rsidP="00543FC6">
      <w:pPr>
        <w:widowControl w:val="0"/>
        <w:autoSpaceDE w:val="0"/>
        <w:autoSpaceDN w:val="0"/>
        <w:adjustRightInd w:val="0"/>
        <w:spacing w:after="277" w:line="280" w:lineRule="atLeast"/>
        <w:ind w:right="-94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 xml:space="preserve">1. Le résumé devra préciser sur une seule page : </w:t>
      </w:r>
    </w:p>
    <w:p w14:paraId="7D24FA5B" w14:textId="77777777" w:rsidR="004570D2" w:rsidRDefault="004570D2" w:rsidP="00543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77" w:line="293" w:lineRule="atLeast"/>
        <w:ind w:left="1168" w:right="-94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Titre</w:t>
      </w:r>
    </w:p>
    <w:p w14:paraId="0EA566CE" w14:textId="77777777" w:rsidR="004570D2" w:rsidRDefault="004570D2" w:rsidP="00543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77" w:line="293" w:lineRule="atLeast"/>
        <w:ind w:left="1168" w:right="-94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Noms (comme suit : Xavier DUPOND) et affiliation des auteurs</w:t>
      </w:r>
    </w:p>
    <w:p w14:paraId="7A65961E" w14:textId="77777777" w:rsidR="004570D2" w:rsidRDefault="004570D2" w:rsidP="00543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77" w:line="293" w:lineRule="atLeast"/>
        <w:ind w:left="1168" w:right="-94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Une justification de l’étude</w:t>
      </w:r>
      <w:bookmarkStart w:id="0" w:name="_GoBack"/>
      <w:bookmarkEnd w:id="0"/>
    </w:p>
    <w:p w14:paraId="263D0053" w14:textId="77777777" w:rsidR="004570D2" w:rsidRDefault="004570D2" w:rsidP="00543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77" w:line="293" w:lineRule="atLeast"/>
        <w:ind w:left="1168" w:right="-94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La méthodologie (population, épreuves, analyses statistiques…)</w:t>
      </w:r>
    </w:p>
    <w:p w14:paraId="0D423AB6" w14:textId="77777777" w:rsidR="004570D2" w:rsidRDefault="004570D2" w:rsidP="00543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77" w:line="293" w:lineRule="atLeast"/>
        <w:ind w:left="1168" w:right="-94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Les résultats</w:t>
      </w:r>
    </w:p>
    <w:p w14:paraId="40D30154" w14:textId="77777777" w:rsidR="004570D2" w:rsidRDefault="004570D2" w:rsidP="00543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77" w:line="293" w:lineRule="atLeast"/>
        <w:ind w:left="1168" w:right="-94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Une brève discussion</w:t>
      </w:r>
    </w:p>
    <w:p w14:paraId="79E6C99B" w14:textId="77777777" w:rsidR="004570D2" w:rsidRDefault="004570D2" w:rsidP="00543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77" w:line="293" w:lineRule="atLeast"/>
        <w:ind w:left="1168" w:right="-94"/>
        <w:rPr>
          <w:rFonts w:ascii="Helvetica" w:hAnsi="Helvetica" w:cs="Helvetica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>Trois références bibliographiques maximum pourront être ajoutées</w:t>
      </w:r>
    </w:p>
    <w:p w14:paraId="25D13433" w14:textId="77777777" w:rsidR="004570D2" w:rsidRDefault="004570D2" w:rsidP="00543FC6">
      <w:pPr>
        <w:widowControl w:val="0"/>
        <w:autoSpaceDE w:val="0"/>
        <w:autoSpaceDN w:val="0"/>
        <w:adjustRightInd w:val="0"/>
        <w:spacing w:after="277" w:line="280" w:lineRule="atLeast"/>
        <w:ind w:right="-94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Il devra comporter entre </w:t>
      </w:r>
      <w:r>
        <w:rPr>
          <w:rFonts w:ascii="Helvetica" w:hAnsi="Helvetica" w:cs="Helvetica"/>
          <w:b/>
          <w:bCs/>
          <w:sz w:val="23"/>
          <w:szCs w:val="23"/>
        </w:rPr>
        <w:t xml:space="preserve">300 mots au minimum et 400 mots au maximum </w:t>
      </w:r>
      <w:r>
        <w:rPr>
          <w:rFonts w:ascii="Helvetica" w:hAnsi="Helvetica" w:cs="Helvetica"/>
          <w:sz w:val="23"/>
          <w:szCs w:val="23"/>
        </w:rPr>
        <w:t>(sans tenir compte du titre, des noms des auteurs et de leur adresse).</w:t>
      </w:r>
    </w:p>
    <w:p w14:paraId="65CC49CA" w14:textId="77777777" w:rsidR="004570D2" w:rsidRDefault="004570D2" w:rsidP="00543FC6">
      <w:pPr>
        <w:widowControl w:val="0"/>
        <w:autoSpaceDE w:val="0"/>
        <w:autoSpaceDN w:val="0"/>
        <w:adjustRightInd w:val="0"/>
        <w:spacing w:after="277" w:line="280" w:lineRule="atLeast"/>
        <w:ind w:right="-94"/>
        <w:jc w:val="both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Fichier Word, taille de police supérieure ou égale à 10 points, simple interligne.</w:t>
      </w:r>
    </w:p>
    <w:p w14:paraId="6937AC3D" w14:textId="77777777" w:rsidR="004570D2" w:rsidRDefault="004570D2" w:rsidP="00543FC6">
      <w:pPr>
        <w:widowControl w:val="0"/>
        <w:autoSpaceDE w:val="0"/>
        <w:autoSpaceDN w:val="0"/>
        <w:adjustRightInd w:val="0"/>
        <w:ind w:right="-94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 xml:space="preserve">2. Précisez si vous souhaitez proposer une </w:t>
      </w:r>
      <w:r>
        <w:rPr>
          <w:rFonts w:ascii="Helvetica" w:hAnsi="Helvetica" w:cs="Helvetica"/>
          <w:b/>
          <w:bCs/>
          <w:sz w:val="23"/>
          <w:szCs w:val="23"/>
          <w:u w:val="single"/>
        </w:rPr>
        <w:t xml:space="preserve">communication orale </w:t>
      </w:r>
      <w:r>
        <w:rPr>
          <w:rFonts w:ascii="Helvetica" w:hAnsi="Helvetica" w:cs="Helvetica"/>
          <w:b/>
          <w:bCs/>
          <w:sz w:val="23"/>
          <w:szCs w:val="23"/>
        </w:rPr>
        <w:t xml:space="preserve">ou </w:t>
      </w:r>
      <w:r>
        <w:rPr>
          <w:rFonts w:ascii="Helvetica" w:hAnsi="Helvetica" w:cs="Helvetica"/>
          <w:b/>
          <w:bCs/>
          <w:sz w:val="23"/>
          <w:szCs w:val="23"/>
          <w:u w:val="single"/>
        </w:rPr>
        <w:t>affichée</w:t>
      </w:r>
      <w:r>
        <w:rPr>
          <w:rFonts w:ascii="Helvetica" w:hAnsi="Helvetica" w:cs="Helvetica"/>
          <w:b/>
          <w:bCs/>
          <w:sz w:val="23"/>
          <w:szCs w:val="23"/>
        </w:rPr>
        <w:t>.</w:t>
      </w:r>
    </w:p>
    <w:p w14:paraId="17D7828B" w14:textId="77777777" w:rsidR="004570D2" w:rsidRDefault="004570D2" w:rsidP="00543FC6">
      <w:pPr>
        <w:widowControl w:val="0"/>
        <w:autoSpaceDE w:val="0"/>
        <w:autoSpaceDN w:val="0"/>
        <w:adjustRightInd w:val="0"/>
        <w:ind w:right="-94"/>
        <w:rPr>
          <w:rFonts w:ascii="Helvetica" w:hAnsi="Helvetica" w:cs="Helvetica"/>
          <w:sz w:val="23"/>
          <w:szCs w:val="23"/>
        </w:rPr>
      </w:pPr>
    </w:p>
    <w:p w14:paraId="41B7D4EE" w14:textId="77777777" w:rsidR="004570D2" w:rsidRDefault="004570D2" w:rsidP="00543FC6">
      <w:pPr>
        <w:widowControl w:val="0"/>
        <w:autoSpaceDE w:val="0"/>
        <w:autoSpaceDN w:val="0"/>
        <w:adjustRightInd w:val="0"/>
        <w:ind w:right="-94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14:paraId="44707E69" w14:textId="77777777" w:rsidR="004570D2" w:rsidRDefault="004570D2" w:rsidP="00543FC6">
      <w:pPr>
        <w:widowControl w:val="0"/>
        <w:autoSpaceDE w:val="0"/>
        <w:autoSpaceDN w:val="0"/>
        <w:adjustRightInd w:val="0"/>
        <w:spacing w:after="472" w:line="280" w:lineRule="atLeast"/>
        <w:ind w:right="-94"/>
        <w:jc w:val="center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8"/>
          <w:szCs w:val="28"/>
        </w:rPr>
        <w:t>TOUT ABSTRACT NE RESPECTANT PAS LES NORMES NE SERA PAS CONSIDERE</w:t>
      </w:r>
    </w:p>
    <w:p w14:paraId="2AAE54B8" w14:textId="77777777" w:rsidR="004570D2" w:rsidRDefault="004570D2" w:rsidP="00543FC6">
      <w:pPr>
        <w:widowControl w:val="0"/>
        <w:autoSpaceDE w:val="0"/>
        <w:autoSpaceDN w:val="0"/>
        <w:adjustRightInd w:val="0"/>
        <w:spacing w:line="368" w:lineRule="atLeast"/>
        <w:ind w:right="-94"/>
        <w:jc w:val="center"/>
        <w:rPr>
          <w:rFonts w:ascii="Helvetica" w:hAnsi="Helvetica" w:cs="Helvetica"/>
          <w:b/>
          <w:bCs/>
          <w:color w:val="92D050"/>
          <w:sz w:val="28"/>
          <w:szCs w:val="28"/>
        </w:rPr>
      </w:pPr>
      <w:r>
        <w:rPr>
          <w:rFonts w:ascii="Helvetica" w:hAnsi="Helvetica" w:cs="Helvetica"/>
          <w:b/>
          <w:bCs/>
          <w:color w:val="92D050"/>
          <w:sz w:val="28"/>
          <w:szCs w:val="28"/>
        </w:rPr>
        <w:t xml:space="preserve"> A renvoyer par courrier électronique (en fichier Word) </w:t>
      </w:r>
    </w:p>
    <w:p w14:paraId="7CF4D0C3" w14:textId="77777777" w:rsidR="004570D2" w:rsidRDefault="004570D2" w:rsidP="00543FC6">
      <w:pPr>
        <w:widowControl w:val="0"/>
        <w:autoSpaceDE w:val="0"/>
        <w:autoSpaceDN w:val="0"/>
        <w:adjustRightInd w:val="0"/>
        <w:spacing w:line="368" w:lineRule="atLeast"/>
        <w:ind w:right="-94"/>
        <w:jc w:val="center"/>
        <w:rPr>
          <w:rFonts w:ascii="Helvetica" w:hAnsi="Helvetica" w:cs="Helvetica"/>
          <w:b/>
          <w:bCs/>
          <w:color w:val="92D050"/>
          <w:sz w:val="28"/>
          <w:szCs w:val="28"/>
        </w:rPr>
      </w:pPr>
      <w:r>
        <w:rPr>
          <w:rFonts w:ascii="Helvetica" w:hAnsi="Helvetica" w:cs="Helvetica"/>
          <w:b/>
          <w:bCs/>
          <w:color w:val="92D050"/>
          <w:sz w:val="28"/>
          <w:szCs w:val="28"/>
        </w:rPr>
        <w:t xml:space="preserve">    le 15 mars 2017 au plus tard à : </w:t>
      </w:r>
      <w:hyperlink r:id="rId5" w:history="1">
        <w:r>
          <w:rPr>
            <w:rFonts w:ascii="Arial" w:hAnsi="Arial" w:cs="Arial"/>
            <w:color w:val="0000FF"/>
            <w:u w:val="single" w:color="0000FF"/>
          </w:rPr>
          <w:t>snlf@ulg.ac.be</w:t>
        </w:r>
      </w:hyperlink>
    </w:p>
    <w:p w14:paraId="56F9B256" w14:textId="77777777" w:rsidR="00D563C8" w:rsidRDefault="00543FC6"/>
    <w:sectPr w:rsidR="00D563C8" w:rsidSect="00543FC6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D2"/>
    <w:rsid w:val="001F0933"/>
    <w:rsid w:val="003062BE"/>
    <w:rsid w:val="004570D2"/>
    <w:rsid w:val="005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BAF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nlf@ulg.ac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1640</Characters>
  <Application>Microsoft Macintosh Word</Application>
  <DocSecurity>0</DocSecurity>
  <Lines>13</Lines>
  <Paragraphs>3</Paragraphs>
  <ScaleCrop>false</ScaleCrop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2017-01-25T12:16:00Z</dcterms:created>
  <dcterms:modified xsi:type="dcterms:W3CDTF">2017-01-25T12:18:00Z</dcterms:modified>
</cp:coreProperties>
</file>